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黑体" w:hAnsi="黑体" w:eastAsia="黑体" w:cs="黑体"/>
          <w:kern w:val="0"/>
          <w:sz w:val="48"/>
          <w:szCs w:val="48"/>
          <w:lang w:val="zh-CN"/>
        </w:rPr>
      </w:pPr>
      <w:r>
        <w:rPr>
          <w:rFonts w:hint="eastAsia" w:ascii="黑体" w:hAnsi="黑体" w:eastAsia="黑体" w:cs="黑体"/>
          <w:kern w:val="0"/>
          <w:sz w:val="48"/>
          <w:szCs w:val="48"/>
          <w:lang w:val="zh-CN"/>
        </w:rPr>
        <w:t>天津中医药大学第二附属医院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黑体" w:hAnsi="黑体" w:eastAsia="黑体" w:cs="黑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bookmarkStart w:id="0" w:name="_GoBack"/>
      <w:bookmarkEnd w:id="0"/>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医院承担中西医结合疾病防治、急危重症救治、突发公共卫生事件救援、医疗援助、科学研究、医学教育、预防保健、中医药文化交流等任务，充分利用中医药技术方法和现代科学技术，以提供急危重症和疑难复杂疾病的中医诊疗服务和中医优势病种的中医门诊诊疗服务等中医药服务为主。</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天津中医药大学第二附属医院内设</w:t>
      </w:r>
      <w:r>
        <w:rPr>
          <w:rFonts w:ascii="Times New Roman" w:hAnsi="Times New Roman" w:eastAsia="仿宋_GB2312" w:cs="仿宋_GB2312"/>
          <w:sz w:val="30"/>
          <w:szCs w:val="30"/>
        </w:rPr>
        <w:t>69</w:t>
      </w:r>
      <w:r>
        <w:rPr>
          <w:rFonts w:hint="eastAsia" w:ascii="Times New Roman" w:hAnsi="Times New Roman" w:eastAsia="仿宋_GB2312" w:cs="仿宋_GB2312"/>
          <w:sz w:val="30"/>
          <w:szCs w:val="30"/>
        </w:rPr>
        <w:t>个科室；下辖</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个预算单位。纳入天津中医药大学第二附属医院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w:t>
      </w:r>
      <w:r>
        <w:rPr>
          <w:rFonts w:ascii="Times New Roman" w:hAnsi="Times New Roman" w:eastAsia="方正小标宋简体" w:cs="方正小标宋简体"/>
          <w:kern w:val="44"/>
          <w:sz w:val="44"/>
          <w:szCs w:val="44"/>
        </w:rPr>
        <w:t>2023</w:t>
      </w:r>
      <w:r>
        <w:rPr>
          <w:rFonts w:hint="eastAsia" w:ascii="Times New Roman" w:hAnsi="Times New Roman" w:eastAsia="方正小标宋简体" w:cs="方正小标宋简体"/>
          <w:kern w:val="44"/>
          <w:sz w:val="44"/>
          <w:szCs w:val="44"/>
        </w:rPr>
        <w:t>年度部门决算表</w:t>
      </w:r>
    </w:p>
    <w:p>
      <w:pPr>
        <w:autoSpaceDE w:val="0"/>
        <w:autoSpaceDN w:val="0"/>
        <w:adjustRightInd w:val="0"/>
        <w:spacing w:line="600" w:lineRule="exact"/>
        <w:jc w:val="left"/>
        <w:rPr>
          <w:rFonts w:ascii="Times New Roman" w:hAnsi="Times New Roman" w:eastAsia="方正小标宋简体"/>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w:t>
      </w:r>
      <w:r>
        <w:rPr>
          <w:rFonts w:ascii="Times New Roman" w:hAnsi="Times New Roman" w:eastAsia="方正小标宋简体" w:cs="方正小标宋简体"/>
          <w:kern w:val="44"/>
          <w:sz w:val="44"/>
          <w:szCs w:val="44"/>
        </w:rPr>
        <w:t>2023</w:t>
      </w:r>
      <w:r>
        <w:rPr>
          <w:rFonts w:hint="eastAsia" w:ascii="Times New Roman" w:hAnsi="Times New Roman" w:eastAsia="方正小标宋简体" w:cs="方正小标宋简体"/>
          <w:kern w:val="44"/>
          <w:sz w:val="44"/>
          <w:szCs w:val="44"/>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天津中医药大学第二附属医院</w:t>
      </w:r>
      <w:r>
        <w:rPr>
          <w:rFonts w:ascii="Times New Roman" w:hAnsi="Times New Roman" w:eastAsia="仿宋_GB2312" w:cs="仿宋_GB2312"/>
          <w:sz w:val="30"/>
          <w:szCs w:val="30"/>
          <w:lang w:val="zh-CN"/>
        </w:rPr>
        <w:t>2023</w:t>
      </w:r>
      <w:r>
        <w:rPr>
          <w:rFonts w:hint="eastAsia" w:ascii="Times New Roman" w:hAnsi="Times New Roman" w:eastAsia="仿宋_GB2312" w:cs="仿宋_GB2312"/>
          <w:sz w:val="30"/>
          <w:szCs w:val="30"/>
          <w:lang w:val="zh-CN"/>
        </w:rPr>
        <w:t>年度收入、支出决算总计</w:t>
      </w:r>
      <w:r>
        <w:rPr>
          <w:rFonts w:ascii="Times New Roman" w:hAnsi="Times New Roman" w:eastAsia="仿宋_GB2312" w:cs="仿宋_GB2312"/>
          <w:sz w:val="30"/>
          <w:szCs w:val="30"/>
        </w:rPr>
        <w:t>1,320,518,668.53</w:t>
      </w:r>
      <w:r>
        <w:rPr>
          <w:rFonts w:hint="eastAsia" w:ascii="Times New Roman" w:hAnsi="Times New Roman" w:eastAsia="仿宋_GB2312" w:cs="仿宋_GB2312"/>
          <w:sz w:val="30"/>
          <w:szCs w:val="30"/>
        </w:rPr>
        <w:t>元，与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年度相比，收、支总计各增加</w:t>
      </w:r>
      <w:r>
        <w:rPr>
          <w:rFonts w:ascii="Times New Roman" w:hAnsi="Times New Roman" w:eastAsia="仿宋_GB2312" w:cs="仿宋_GB2312"/>
          <w:sz w:val="30"/>
          <w:szCs w:val="30"/>
        </w:rPr>
        <w:t>138,408,808.92</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11.71%</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：恢复正常诊疗秩序，事业收入较去年有所增加；专用材料费支出较去年有所增加。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eastAsia="仿宋_GB2312"/>
          <w:sz w:val="30"/>
          <w:szCs w:val="30"/>
        </w:rPr>
        <w:t>2023</w:t>
      </w:r>
      <w:r>
        <w:rPr>
          <w:rFonts w:hint="eastAsia" w:ascii="Times New Roman" w:hAnsi="Times New Roman" w:eastAsia="仿宋_GB2312" w:cs="仿宋_GB2312"/>
          <w:sz w:val="30"/>
          <w:szCs w:val="30"/>
          <w:lang w:val="zh-CN"/>
        </w:rPr>
        <w:t>年度本年收入合计</w:t>
      </w:r>
      <w:r>
        <w:rPr>
          <w:rFonts w:ascii="Times New Roman" w:hAnsi="Times New Roman" w:eastAsia="仿宋_GB2312"/>
          <w:sz w:val="30"/>
          <w:szCs w:val="30"/>
        </w:rPr>
        <w:t>1,165,729,804.00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13,967,982.50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：恢复正常诊疗秩序，医疗收入较去年有所增加。</w:t>
      </w:r>
    </w:p>
    <w:p>
      <w:pPr>
        <w:autoSpaceDE w:val="0"/>
        <w:autoSpaceDN w:val="0"/>
        <w:adjustRightInd w:val="0"/>
        <w:spacing w:line="600" w:lineRule="exact"/>
        <w:ind w:firstLine="600"/>
        <w:jc w:val="left"/>
        <w:rPr>
          <w:rFonts w:ascii="Times New Roman" w:hAnsi="Times New Roman"/>
          <w:sz w:val="30"/>
          <w:szCs w:val="30"/>
        </w:rPr>
      </w:pP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ascii="Times New Roman" w:hAnsi="Times New Roman" w:eastAsia="仿宋_GB2312"/>
          <w:sz w:val="30"/>
          <w:szCs w:val="30"/>
        </w:rPr>
        <w:t>36,495,516.77</w:t>
      </w:r>
      <w:r>
        <w:rPr>
          <w:rFonts w:hint="eastAsia" w:ascii="Times New Roman" w:hAnsi="Times New Roman" w:eastAsia="仿宋_GB2312" w:cs="仿宋_GB2312"/>
          <w:sz w:val="30"/>
          <w:szCs w:val="30"/>
          <w:lang w:val="zh-CN"/>
        </w:rPr>
        <w:t>元，占</w:t>
      </w:r>
      <w:r>
        <w:rPr>
          <w:rFonts w:ascii="Times New Roman" w:hAnsi="Times New Roman" w:eastAsia="仿宋_GB2312"/>
          <w:sz w:val="30"/>
          <w:szCs w:val="30"/>
        </w:rPr>
        <w:t>3.13</w:t>
      </w:r>
      <w:r>
        <w:rPr>
          <w:rFonts w:ascii="Times New Roman" w:hAnsi="Times New Roman"/>
          <w:sz w:val="30"/>
          <w:szCs w:val="30"/>
        </w:rPr>
        <w:t>%</w:t>
      </w:r>
      <w:r>
        <w:rPr>
          <w:rFonts w:hint="eastAsia" w:ascii="Times New Roman" w:hAnsi="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政府性基金预算财政拨款收入</w:t>
      </w:r>
      <w:r>
        <w:rPr>
          <w:rFonts w:ascii="Times New Roman" w:hAnsi="Times New Roman" w:eastAsia="仿宋_GB2312" w:cs="仿宋_GB2312"/>
          <w:sz w:val="30"/>
          <w:szCs w:val="30"/>
          <w:lang w:val="zh-CN"/>
        </w:rPr>
        <w:t>36,823,349.65</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3.16%</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事业收入</w:t>
      </w:r>
      <w:r>
        <w:rPr>
          <w:rFonts w:ascii="Times New Roman" w:hAnsi="Times New Roman" w:eastAsia="仿宋_GB2312" w:cs="仿宋_GB2312"/>
          <w:sz w:val="30"/>
          <w:szCs w:val="30"/>
          <w:lang w:val="zh-CN"/>
        </w:rPr>
        <w:t>1,080,760,273.14</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92.71%</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其他收入</w:t>
      </w:r>
      <w:r>
        <w:rPr>
          <w:rFonts w:ascii="Times New Roman" w:hAnsi="Times New Roman" w:eastAsia="仿宋_GB2312" w:cs="仿宋_GB2312"/>
          <w:sz w:val="30"/>
          <w:szCs w:val="30"/>
          <w:lang w:val="zh-CN"/>
        </w:rPr>
        <w:t>11,650,664.44</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1.0%</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cs="宋体"/>
          <w:sz w:val="30"/>
          <w:szCs w:val="30"/>
        </w:rPr>
        <w:t>2023</w:t>
      </w:r>
      <w:r>
        <w:rPr>
          <w:rFonts w:hint="eastAsia" w:ascii="Times New Roman" w:hAnsi="Times New Roman" w:eastAsia="仿宋_GB2312" w:cs="仿宋_GB2312"/>
          <w:sz w:val="30"/>
          <w:szCs w:val="30"/>
        </w:rPr>
        <w:t>年度本年支出合计</w:t>
      </w:r>
      <w:r>
        <w:rPr>
          <w:rFonts w:ascii="Times New Roman" w:hAnsi="Times New Roman" w:eastAsia="仿宋_GB2312" w:cs="仿宋_GB2312"/>
          <w:sz w:val="30"/>
          <w:szCs w:val="30"/>
        </w:rPr>
        <w:t>1,156,445,607.68</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81,002,575.01</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专用材料费支出增加。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其中：基本支出</w:t>
      </w:r>
      <w:r>
        <w:rPr>
          <w:rFonts w:ascii="Times New Roman" w:hAnsi="Times New Roman" w:eastAsia="仿宋_GB2312" w:cs="仿宋_GB2312"/>
          <w:sz w:val="30"/>
          <w:szCs w:val="30"/>
        </w:rPr>
        <w:t>1,045,774,697.74</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90.43%</w:t>
      </w:r>
      <w:r>
        <w:rPr>
          <w:rFonts w:hint="eastAsia" w:ascii="Times New Roman" w:hAnsi="Times New Roman" w:eastAsia="仿宋_GB2312" w:cs="仿宋_GB2312"/>
          <w:sz w:val="30"/>
          <w:szCs w:val="30"/>
        </w:rPr>
        <w:t>；</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项目支出</w:t>
      </w:r>
      <w:r>
        <w:rPr>
          <w:rFonts w:ascii="Times New Roman" w:hAnsi="Times New Roman" w:eastAsia="仿宋_GB2312" w:cs="仿宋_GB2312"/>
          <w:sz w:val="30"/>
          <w:szCs w:val="30"/>
        </w:rPr>
        <w:t>110,670,909.94</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9.57</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cs="宋体"/>
          <w:sz w:val="30"/>
          <w:szCs w:val="30"/>
        </w:rPr>
        <w:t>2023</w:t>
      </w:r>
      <w:r>
        <w:rPr>
          <w:rFonts w:hint="eastAsia" w:ascii="Times New Roman" w:hAnsi="Times New Roman" w:eastAsia="仿宋_GB2312" w:cs="仿宋_GB2312"/>
          <w:sz w:val="30"/>
          <w:szCs w:val="30"/>
        </w:rPr>
        <w:t>年度财政拨款收入、支出决算总计</w:t>
      </w:r>
      <w:r>
        <w:rPr>
          <w:rFonts w:ascii="Times New Roman" w:hAnsi="Times New Roman" w:eastAsia="仿宋_GB2312"/>
          <w:sz w:val="30"/>
          <w:szCs w:val="30"/>
          <w:lang w:val="zh-CN"/>
        </w:rPr>
        <w:t>73,318,866.42</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年度相比，财政拨款收、支总计各减少</w:t>
      </w:r>
      <w:r>
        <w:rPr>
          <w:rFonts w:ascii="Times New Roman" w:hAnsi="Times New Roman" w:eastAsia="仿宋_GB2312" w:cs="仿宋_GB2312"/>
          <w:sz w:val="30"/>
          <w:szCs w:val="30"/>
        </w:rPr>
        <w:t>48,550,571.23</w:t>
      </w:r>
      <w:r>
        <w:rPr>
          <w:rFonts w:hint="eastAsia" w:ascii="Times New Roman" w:hAnsi="Times New Roman" w:eastAsia="仿宋_GB2312" w:cs="仿宋_GB2312"/>
          <w:sz w:val="30"/>
          <w:szCs w:val="30"/>
        </w:rPr>
        <w:t>元，下降</w:t>
      </w:r>
      <w:r>
        <w:rPr>
          <w:rFonts w:ascii="Times New Roman" w:hAnsi="Times New Roman" w:eastAsia="仿宋_GB2312" w:cs="仿宋_GB2312"/>
          <w:sz w:val="30"/>
          <w:szCs w:val="30"/>
        </w:rPr>
        <w:t>39.84</w:t>
      </w:r>
      <w:r>
        <w:rPr>
          <w:rFonts w:ascii="Times New Roman" w:hAnsi="Times New Roman" w:eastAsia="仿宋_GB2312"/>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天津中医药大学第二附属医院中医药传承创新工程项目财政拨款经费减少。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ascii="Times New Roman" w:hAnsi="Times New Roman" w:eastAsia="仿宋_GB2312" w:cs="仿宋_GB2312"/>
          <w:sz w:val="30"/>
          <w:szCs w:val="30"/>
        </w:rPr>
        <w:t>36,495,516.77</w:t>
      </w:r>
      <w:r>
        <w:rPr>
          <w:rFonts w:hint="eastAsia" w:ascii="Times New Roman" w:hAnsi="Times New Roman" w:eastAsia="仿宋_GB2312" w:cs="仿宋_GB2312"/>
          <w:sz w:val="30"/>
          <w:szCs w:val="30"/>
        </w:rPr>
        <w:t>元，占本年支出合计的</w:t>
      </w:r>
      <w:r>
        <w:rPr>
          <w:rFonts w:ascii="Times New Roman" w:hAnsi="Times New Roman" w:eastAsia="仿宋_GB2312" w:cs="仿宋_GB2312"/>
          <w:sz w:val="30"/>
          <w:szCs w:val="30"/>
        </w:rPr>
        <w:t>3.16%</w:t>
      </w:r>
      <w:r>
        <w:rPr>
          <w:rFonts w:hint="eastAsia" w:ascii="Times New Roman" w:hAnsi="Times New Roman" w:eastAsia="仿宋_GB2312" w:cs="仿宋_GB2312"/>
          <w:sz w:val="30"/>
          <w:szCs w:val="30"/>
        </w:rPr>
        <w:t>，与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年度相比，一般公共预算财政拨款支出减少</w:t>
      </w:r>
      <w:r>
        <w:rPr>
          <w:rFonts w:ascii="Times New Roman" w:hAnsi="Times New Roman" w:eastAsia="仿宋_GB2312" w:cs="仿宋_GB2312"/>
          <w:sz w:val="30"/>
          <w:szCs w:val="30"/>
        </w:rPr>
        <w:t>21,340,799.26</w:t>
      </w:r>
      <w:r>
        <w:rPr>
          <w:rFonts w:hint="eastAsia" w:ascii="Times New Roman" w:hAnsi="Times New Roman" w:eastAsia="仿宋_GB2312" w:cs="仿宋_GB2312"/>
          <w:sz w:val="30"/>
          <w:szCs w:val="30"/>
        </w:rPr>
        <w:t>元，下降</w:t>
      </w:r>
      <w:r>
        <w:rPr>
          <w:rFonts w:ascii="Times New Roman" w:hAnsi="Times New Roman" w:eastAsia="仿宋_GB2312" w:cs="仿宋_GB2312"/>
          <w:sz w:val="30"/>
          <w:szCs w:val="30"/>
        </w:rPr>
        <w:t>36.9%</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：天津中医药大学第二附属医院中医药传承创新工程项目支出减少。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年度一般公共预算财政拨款支出</w:t>
      </w:r>
      <w:r>
        <w:rPr>
          <w:rFonts w:ascii="Times New Roman" w:hAnsi="Times New Roman" w:eastAsia="仿宋_GB2312"/>
          <w:sz w:val="30"/>
          <w:szCs w:val="30"/>
        </w:rPr>
        <w:t>36,495,516.77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社会保障和就业支出（类）</w:t>
      </w:r>
      <w:r>
        <w:rPr>
          <w:rFonts w:ascii="Times New Roman" w:hAnsi="Times New Roman" w:eastAsia="仿宋_GB2312" w:cs="仿宋_GB2312"/>
          <w:sz w:val="30"/>
          <w:szCs w:val="30"/>
        </w:rPr>
        <w:t>19,028,000.00</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52.14%</w:t>
      </w:r>
      <w:r>
        <w:rPr>
          <w:rFonts w:hint="eastAsia" w:ascii="Times New Roman" w:hAnsi="Times New Roman" w:eastAsia="仿宋_GB2312" w:cs="仿宋_GB2312"/>
          <w:sz w:val="30"/>
          <w:szCs w:val="30"/>
        </w:rPr>
        <w:t>；卫生健康支出（类）</w:t>
      </w:r>
      <w:r>
        <w:rPr>
          <w:rFonts w:ascii="Times New Roman" w:hAnsi="Times New Roman" w:eastAsia="仿宋_GB2312" w:cs="仿宋_GB2312"/>
          <w:sz w:val="30"/>
          <w:szCs w:val="30"/>
        </w:rPr>
        <w:t>17,467,516.77</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47.86%</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年度一般公共预算财政拨款支出年初预算为</w:t>
      </w:r>
      <w:r>
        <w:rPr>
          <w:rFonts w:ascii="Times New Roman" w:hAnsi="Times New Roman" w:eastAsia="仿宋_GB2312"/>
          <w:sz w:val="30"/>
          <w:szCs w:val="30"/>
        </w:rPr>
        <w:t>34,279,100.00</w:t>
      </w:r>
      <w:r>
        <w:rPr>
          <w:rFonts w:hint="eastAsia" w:ascii="Times New Roman" w:hAnsi="Times New Roman" w:eastAsia="仿宋_GB2312" w:cs="仿宋_GB2312"/>
          <w:kern w:val="0"/>
          <w:sz w:val="30"/>
          <w:szCs w:val="30"/>
        </w:rPr>
        <w:t>元，支出决算为</w:t>
      </w:r>
      <w:r>
        <w:rPr>
          <w:rFonts w:ascii="Times New Roman" w:hAnsi="Times New Roman" w:eastAsia="仿宋_GB2312"/>
          <w:sz w:val="30"/>
          <w:szCs w:val="30"/>
        </w:rPr>
        <w:t>36,495,516.77</w:t>
      </w:r>
      <w:r>
        <w:rPr>
          <w:rFonts w:hint="eastAsia" w:ascii="Times New Roman" w:hAnsi="Times New Roman" w:eastAsia="仿宋_GB2312" w:cs="仿宋_GB2312"/>
          <w:kern w:val="0"/>
          <w:sz w:val="30"/>
          <w:szCs w:val="30"/>
        </w:rPr>
        <w:t>元，完成年初预算的</w:t>
      </w:r>
      <w:r>
        <w:rPr>
          <w:rFonts w:ascii="Times New Roman" w:hAnsi="Times New Roman" w:eastAsia="仿宋_GB2312"/>
          <w:sz w:val="30"/>
          <w:szCs w:val="30"/>
        </w:rPr>
        <w:t>106.47%</w:t>
      </w:r>
      <w:r>
        <w:rPr>
          <w:rFonts w:hint="eastAsia" w:ascii="Times New Roman" w:hAnsi="Times New Roman" w:eastAsia="仿宋_GB2312" w:cs="仿宋_GB2312"/>
          <w:kern w:val="0"/>
          <w:sz w:val="30"/>
          <w:szCs w:val="30"/>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cs="仿宋_GB2312"/>
          <w:sz w:val="30"/>
          <w:szCs w:val="30"/>
        </w:rPr>
        <w:t>12,685,000.00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12,685,000.00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，决算数与年初预算数持平。</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2. </w:t>
      </w:r>
      <w:r>
        <w:rPr>
          <w:rFonts w:hint="eastAsia" w:ascii="Times New Roman"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cs="仿宋_GB2312"/>
          <w:sz w:val="30"/>
          <w:szCs w:val="30"/>
        </w:rPr>
        <w:t>6,343,000.00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6,343,000.00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，决算数与年初预算数持平。</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3. </w:t>
      </w:r>
      <w:r>
        <w:rPr>
          <w:rFonts w:hint="eastAsia" w:ascii="Times New Roman" w:hAnsi="Times New Roman" w:eastAsia="仿宋_GB2312" w:cs="仿宋_GB2312"/>
          <w:sz w:val="30"/>
          <w:szCs w:val="30"/>
        </w:rPr>
        <w:t>卫生健康支出（类）公立医院（款）综合医院（项）年初预算为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161,194.00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161,194.00</w:t>
      </w:r>
      <w:r>
        <w:rPr>
          <w:rFonts w:hint="eastAsia" w:ascii="Times New Roman" w:hAnsi="Times New Roman" w:eastAsia="仿宋_GB2312" w:cs="仿宋_GB2312"/>
          <w:sz w:val="30"/>
          <w:szCs w:val="30"/>
        </w:rPr>
        <w:t>元，决算数大于年初预算数的主要原因是本年度追加了卫生健康对口帮扶（援疆）和儿科诊疗人员慰问补助项目经费。</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4. </w:t>
      </w:r>
      <w:r>
        <w:rPr>
          <w:rFonts w:hint="eastAsia" w:ascii="Times New Roman" w:hAnsi="Times New Roman" w:eastAsia="仿宋_GB2312" w:cs="仿宋_GB2312"/>
          <w:sz w:val="30"/>
          <w:szCs w:val="30"/>
        </w:rPr>
        <w:t>卫生健康支出（类）公立医院（款）中医（民族）医院（项）年初预算为</w:t>
      </w:r>
      <w:r>
        <w:rPr>
          <w:rFonts w:ascii="Times New Roman" w:hAnsi="Times New Roman" w:eastAsia="仿宋_GB2312" w:cs="仿宋_GB2312"/>
          <w:sz w:val="30"/>
          <w:szCs w:val="30"/>
        </w:rPr>
        <w:t>11,700,100.00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11,094,682.24</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94.83%</w:t>
      </w:r>
      <w:r>
        <w:rPr>
          <w:rFonts w:hint="eastAsia" w:ascii="Times New Roman" w:hAnsi="Times New Roman" w:eastAsia="仿宋_GB2312" w:cs="仿宋_GB2312"/>
          <w:sz w:val="30"/>
          <w:szCs w:val="30"/>
        </w:rPr>
        <w:t>，决算数小于年初预算数的主要</w:t>
      </w:r>
      <w:r>
        <w:rPr>
          <w:rFonts w:hint="eastAsia" w:ascii="Times New Roman" w:hAnsi="Times New Roman" w:eastAsia="仿宋_GB2312" w:cs="仿宋_GB2312"/>
          <w:sz w:val="30"/>
          <w:szCs w:val="30"/>
          <w:highlight w:val="none"/>
        </w:rPr>
        <w:t>原因是部分中央直达资金</w:t>
      </w:r>
      <w:r>
        <w:rPr>
          <w:rFonts w:hint="eastAsia" w:ascii="Times New Roman" w:hAnsi="Times New Roman" w:eastAsia="仿宋_GB2312" w:cs="仿宋_GB2312"/>
          <w:sz w:val="30"/>
          <w:szCs w:val="30"/>
          <w:highlight w:val="none"/>
          <w:lang w:eastAsia="zh-CN"/>
        </w:rPr>
        <w:t>依据项目进度</w:t>
      </w:r>
      <w:r>
        <w:rPr>
          <w:rFonts w:hint="eastAsia" w:ascii="Times New Roman" w:hAnsi="Times New Roman" w:eastAsia="仿宋_GB2312" w:cs="仿宋_GB2312"/>
          <w:sz w:val="30"/>
          <w:szCs w:val="30"/>
          <w:highlight w:val="none"/>
        </w:rPr>
        <w:t>项目经费结转下年使用。</w:t>
      </w:r>
    </w:p>
    <w:p>
      <w:pPr>
        <w:numPr>
          <w:ilvl w:val="0"/>
          <w:numId w:val="0"/>
        </w:num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卫生健康支出（类）公共医院（款）</w:t>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突发公共卫生事件应急处理（项）年初预算为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1,931,100.00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1,931,100.00</w:t>
      </w:r>
      <w:r>
        <w:rPr>
          <w:rFonts w:hint="eastAsia" w:ascii="Times New Roman" w:hAnsi="Times New Roman" w:eastAsia="仿宋_GB2312" w:cs="仿宋_GB2312"/>
          <w:sz w:val="30"/>
          <w:szCs w:val="30"/>
        </w:rPr>
        <w:t>元，决算数大于年初预算数的主要原因是本年度追加了新冠病毒感染疫情救治能力提升等项目经费。</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卫生健康支出（类）中医药（款）中医（民族医）药专项（项）年初预算为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729,540.53</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729,540.53</w:t>
      </w:r>
      <w:r>
        <w:rPr>
          <w:rFonts w:hint="eastAsia" w:ascii="Times New Roman" w:hAnsi="Times New Roman" w:eastAsia="仿宋_GB2312" w:cs="仿宋_GB2312"/>
          <w:sz w:val="30"/>
          <w:szCs w:val="30"/>
        </w:rPr>
        <w:t>元，决算数大于年初预算数的主要原因是本年度追加了中医药事业传承与发展中央直达资金。</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7. </w:t>
      </w:r>
      <w:r>
        <w:rPr>
          <w:rFonts w:hint="eastAsia" w:ascii="Times New Roman" w:hAnsi="Times New Roman" w:eastAsia="仿宋_GB2312" w:cs="仿宋_GB2312"/>
          <w:sz w:val="30"/>
          <w:szCs w:val="30"/>
        </w:rPr>
        <w:t>卫生健康支出（类）行政事业单位医疗（款）事业单位医疗（项）年初预算为</w:t>
      </w:r>
      <w:r>
        <w:rPr>
          <w:rFonts w:ascii="Times New Roman" w:hAnsi="Times New Roman" w:eastAsia="仿宋_GB2312" w:cs="仿宋_GB2312"/>
          <w:sz w:val="30"/>
          <w:szCs w:val="30"/>
        </w:rPr>
        <w:t>2,418,000.00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2,418,000.00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，决算数与年初预算数持平。</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8. </w:t>
      </w:r>
      <w:r>
        <w:rPr>
          <w:rFonts w:hint="eastAsia" w:ascii="Times New Roman" w:hAnsi="Times New Roman" w:eastAsia="仿宋_GB2312" w:cs="仿宋_GB2312"/>
          <w:sz w:val="30"/>
          <w:szCs w:val="30"/>
        </w:rPr>
        <w:t>卫生健康支出（类）行政事业单位医疗（款）其他行政事业单位医疗支出（项）年初预算为</w:t>
      </w:r>
      <w:r>
        <w:rPr>
          <w:rFonts w:ascii="Times New Roman" w:hAnsi="Times New Roman" w:eastAsia="仿宋_GB2312" w:cs="仿宋_GB2312"/>
          <w:sz w:val="30"/>
          <w:szCs w:val="30"/>
        </w:rPr>
        <w:t>1,133,000.00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1,133,000.00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，决算数与年初预算数持平。</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sz w:val="30"/>
          <w:szCs w:val="30"/>
        </w:rPr>
        <w:t>26,679,084.00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622,984.00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机关事业单位基本养老保险缴费、职业年金缴费</w:t>
      </w:r>
      <w:r>
        <w:rPr>
          <w:rFonts w:hint="eastAsia" w:ascii="Times New Roman" w:hAnsi="Times New Roman" w:eastAsia="仿宋_GB2312" w:cs="仿宋_GB2312"/>
          <w:sz w:val="30"/>
          <w:szCs w:val="30"/>
          <w:highlight w:val="none"/>
          <w:lang w:eastAsia="zh-CN"/>
        </w:rPr>
        <w:t>等</w:t>
      </w:r>
      <w:r>
        <w:rPr>
          <w:rFonts w:hint="eastAsia" w:ascii="Times New Roman" w:hAnsi="Times New Roman" w:eastAsia="仿宋_GB2312" w:cs="仿宋_GB2312"/>
          <w:sz w:val="30"/>
          <w:szCs w:val="30"/>
          <w:highlight w:val="none"/>
        </w:rPr>
        <w:t>较去年有所增加。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ascii="Times New Roman" w:hAnsi="Times New Roman" w:eastAsia="仿宋_GB2312"/>
          <w:sz w:val="30"/>
          <w:szCs w:val="30"/>
        </w:rPr>
        <w:t>25,996,084.00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机关事业单位基本养老保险缴费、职业年金缴费、职工基本医疗保险缴费、其他社会保障缴费、医疗费、离休费、退休费、医疗费补助。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ascii="Times New Roman" w:hAnsi="Times New Roman" w:eastAsia="仿宋_GB2312"/>
          <w:sz w:val="30"/>
          <w:szCs w:val="30"/>
        </w:rPr>
        <w:t>683,000.00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专用材料费。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ascii="Times New Roman" w:hAnsi="Times New Roman" w:eastAsia="仿宋_GB2312"/>
          <w:sz w:val="30"/>
          <w:szCs w:val="30"/>
        </w:rPr>
        <w:t>0.00</w:t>
      </w:r>
      <w:r>
        <w:rPr>
          <w:rFonts w:hint="eastAsia" w:ascii="Times New Roman" w:hAnsi="Times New Roman" w:eastAsia="仿宋_GB2312" w:cs="仿宋_GB2312"/>
          <w:kern w:val="0"/>
          <w:sz w:val="30"/>
          <w:szCs w:val="30"/>
        </w:rPr>
        <w:t>元，收入</w:t>
      </w:r>
      <w:r>
        <w:rPr>
          <w:rFonts w:ascii="Times New Roman" w:hAnsi="Times New Roman" w:eastAsia="仿宋_GB2312"/>
          <w:sz w:val="30"/>
          <w:szCs w:val="30"/>
        </w:rPr>
        <w:t>36,823,349.65</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ascii="Times New Roman" w:hAnsi="Times New Roman" w:eastAsia="仿宋_GB2312"/>
          <w:sz w:val="30"/>
          <w:szCs w:val="30"/>
        </w:rPr>
        <w:t>36,823,349.65</w:t>
      </w:r>
      <w:r>
        <w:rPr>
          <w:rFonts w:hint="eastAsia" w:ascii="Times New Roman" w:hAnsi="Times New Roman" w:eastAsia="仿宋_GB2312" w:cs="仿宋_GB2312"/>
          <w:sz w:val="30"/>
          <w:szCs w:val="30"/>
        </w:rPr>
        <w:t>元，年末结转和结余</w:t>
      </w:r>
      <w:r>
        <w:rPr>
          <w:rFonts w:ascii="Times New Roman" w:hAnsi="Times New Roman" w:eastAsia="仿宋_GB2312"/>
          <w:sz w:val="30"/>
          <w:szCs w:val="30"/>
        </w:rPr>
        <w:t>0.00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年度相比，政府性基金财政拨款支出减少</w:t>
      </w:r>
      <w:r>
        <w:rPr>
          <w:rFonts w:ascii="Times New Roman" w:hAnsi="Times New Roman" w:eastAsia="仿宋_GB2312" w:cs="仿宋_GB2312"/>
          <w:sz w:val="30"/>
          <w:szCs w:val="30"/>
        </w:rPr>
        <w:t>27,209,771.97</w:t>
      </w:r>
      <w:r>
        <w:rPr>
          <w:rFonts w:hint="eastAsia" w:ascii="Times New Roman" w:hAnsi="Times New Roman" w:eastAsia="仿宋_GB2312" w:cs="仿宋_GB2312"/>
          <w:sz w:val="30"/>
          <w:szCs w:val="30"/>
        </w:rPr>
        <w:t>元，下降</w:t>
      </w:r>
      <w:r>
        <w:rPr>
          <w:rFonts w:ascii="Times New Roman" w:hAnsi="Times New Roman" w:eastAsia="仿宋_GB2312" w:cs="仿宋_GB2312"/>
          <w:sz w:val="30"/>
          <w:szCs w:val="30"/>
        </w:rPr>
        <w:t>42.49%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天津中医药大学第二附属医院中医药传承创新工程项目经费支出减少。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kern w:val="0"/>
          <w:sz w:val="30"/>
          <w:szCs w:val="30"/>
        </w:rPr>
      </w:pPr>
      <w:r>
        <w:rPr>
          <w:rFonts w:hint="eastAsia" w:ascii="Times New Roman" w:hAnsi="Times New Roman" w:eastAsia="仿宋_GB2312" w:cs="仿宋_GB2312"/>
          <w:color w:val="000000"/>
          <w:kern w:val="0"/>
          <w:sz w:val="30"/>
          <w:szCs w:val="30"/>
        </w:rPr>
        <w:t>天津中医药大学第二附属医院</w:t>
      </w:r>
      <w:r>
        <w:rPr>
          <w:rFonts w:ascii="Times New Roman" w:hAnsi="Times New Roman"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ascii="Times New Roman" w:hAnsi="Times New Roman" w:eastAsia="仿宋_GB2312"/>
          <w:kern w:val="0"/>
          <w:sz w:val="30"/>
          <w:szCs w:val="30"/>
        </w:rPr>
        <w:t>144,587,736.00</w:t>
      </w:r>
      <w:r>
        <w:rPr>
          <w:rFonts w:hint="eastAsia" w:ascii="Times New Roman" w:hAnsi="Times New Roman" w:eastAsia="仿宋_GB2312" w:cs="仿宋_GB2312"/>
          <w:color w:val="000000"/>
          <w:kern w:val="0"/>
          <w:sz w:val="30"/>
          <w:szCs w:val="30"/>
        </w:rPr>
        <w:t>元，其中：政府采购货物支出</w:t>
      </w:r>
      <w:r>
        <w:rPr>
          <w:rFonts w:ascii="Times New Roman" w:hAnsi="Times New Roman" w:eastAsia="仿宋_GB2312"/>
          <w:kern w:val="0"/>
          <w:sz w:val="30"/>
          <w:szCs w:val="30"/>
        </w:rPr>
        <w:t>54,508,553.00</w:t>
      </w:r>
      <w:r>
        <w:rPr>
          <w:rFonts w:hint="eastAsia" w:ascii="Times New Roman" w:hAnsi="Times New Roman" w:eastAsia="仿宋_GB2312" w:cs="仿宋_GB2312"/>
          <w:color w:val="000000"/>
          <w:kern w:val="0"/>
          <w:sz w:val="30"/>
          <w:szCs w:val="30"/>
        </w:rPr>
        <w:t>元、政府采购工程支出</w:t>
      </w:r>
      <w:r>
        <w:rPr>
          <w:rFonts w:ascii="Times New Roman" w:hAnsi="Times New Roman" w:eastAsia="仿宋_GB2312"/>
          <w:kern w:val="0"/>
          <w:sz w:val="30"/>
          <w:szCs w:val="30"/>
        </w:rPr>
        <w:t>18,704,102.00</w:t>
      </w:r>
      <w:r>
        <w:rPr>
          <w:rFonts w:hint="eastAsia" w:ascii="Times New Roman" w:hAnsi="Times New Roman" w:eastAsia="仿宋_GB2312" w:cs="仿宋_GB2312"/>
          <w:color w:val="000000"/>
          <w:kern w:val="0"/>
          <w:sz w:val="30"/>
          <w:szCs w:val="30"/>
        </w:rPr>
        <w:t>元、政府采购服务支出</w:t>
      </w:r>
      <w:r>
        <w:rPr>
          <w:rFonts w:ascii="Times New Roman" w:hAnsi="Times New Roman" w:eastAsia="仿宋_GB2312"/>
          <w:kern w:val="0"/>
          <w:sz w:val="30"/>
          <w:szCs w:val="30"/>
        </w:rPr>
        <w:t>71,375,081.00</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kern w:val="0"/>
          <w:sz w:val="30"/>
          <w:szCs w:val="30"/>
        </w:rPr>
        <w:t>68,966,930.00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47.7%</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kern w:val="0"/>
          <w:sz w:val="30"/>
          <w:szCs w:val="30"/>
        </w:rPr>
        <w:t>58,559,669.00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40.5%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ascii="Times New Roman" w:hAnsi="Times New Roman" w:eastAsia="仿宋_GB2312" w:cs="仿宋_GB2312"/>
          <w:sz w:val="30"/>
          <w:szCs w:val="30"/>
        </w:rPr>
        <w:t>41.35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ascii="Times New Roman" w:hAnsi="Times New Roman" w:eastAsia="仿宋_GB2312" w:cs="仿宋_GB2312"/>
          <w:sz w:val="30"/>
          <w:szCs w:val="30"/>
        </w:rPr>
        <w:t>65.05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ascii="Times New Roman" w:hAnsi="Times New Roman" w:eastAsia="仿宋_GB2312"/>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olor w:val="000000"/>
          <w:kern w:val="0"/>
          <w:sz w:val="30"/>
          <w:szCs w:val="30"/>
        </w:rPr>
        <w:t>31</w:t>
      </w:r>
      <w:r>
        <w:rPr>
          <w:rFonts w:hint="eastAsia" w:ascii="Times New Roman" w:hAnsi="Times New Roman" w:eastAsia="仿宋_GB2312" w:cs="仿宋_GB2312"/>
          <w:color w:val="000000"/>
          <w:kern w:val="0"/>
          <w:sz w:val="30"/>
          <w:szCs w:val="30"/>
        </w:rPr>
        <w:t>日，天津中医药大学第二附属医院共有车辆</w:t>
      </w:r>
      <w:r>
        <w:rPr>
          <w:rFonts w:ascii="Times New Roman" w:hAnsi="Times New Roman" w:eastAsia="仿宋_GB2312"/>
          <w:kern w:val="0"/>
          <w:sz w:val="30"/>
          <w:szCs w:val="30"/>
        </w:rPr>
        <w:t>3</w:t>
      </w:r>
      <w:r>
        <w:rPr>
          <w:rFonts w:hint="eastAsia" w:ascii="Times New Roman" w:hAnsi="Times New Roman" w:eastAsia="仿宋_GB2312" w:cs="仿宋_GB2312"/>
          <w:color w:val="000000"/>
          <w:kern w:val="0"/>
          <w:sz w:val="30"/>
          <w:szCs w:val="30"/>
        </w:rPr>
        <w:t>辆，其中：</w:t>
      </w:r>
      <w:r>
        <w:rPr>
          <w:rFonts w:hint="eastAsia" w:ascii="Times New Roman" w:hAnsi="Times New Roman" w:eastAsia="仿宋_GB2312"/>
          <w:kern w:val="0"/>
          <w:sz w:val="30"/>
          <w:szCs w:val="30"/>
        </w:rPr>
        <w:t>其他用车</w:t>
      </w:r>
      <w:r>
        <w:rPr>
          <w:rFonts w:ascii="Times New Roman" w:hAnsi="Times New Roman" w:eastAsia="仿宋_GB2312"/>
          <w:kern w:val="0"/>
          <w:sz w:val="30"/>
          <w:szCs w:val="30"/>
        </w:rPr>
        <w:t>3</w:t>
      </w:r>
      <w:r>
        <w:rPr>
          <w:rFonts w:hint="eastAsia" w:ascii="Times New Roman" w:hAnsi="Times New Roman" w:eastAsia="仿宋_GB2312"/>
          <w:kern w:val="0"/>
          <w:sz w:val="30"/>
          <w:szCs w:val="30"/>
        </w:rPr>
        <w:t>辆，其他用车主要包括</w:t>
      </w:r>
      <w:r>
        <w:rPr>
          <w:rFonts w:hint="eastAsia" w:ascii="Times New Roman" w:hAnsi="Times New Roman" w:eastAsia="仿宋_GB2312" w:cs="仿宋_GB2312"/>
          <w:sz w:val="30"/>
          <w:szCs w:val="30"/>
        </w:rPr>
        <w:t>业务用车、后勤服务用车等</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ascii="Times New Roman" w:hAnsi="Times New Roman" w:eastAsia="仿宋_GB2312"/>
          <w:kern w:val="0"/>
          <w:sz w:val="30"/>
          <w:szCs w:val="30"/>
        </w:rPr>
        <w:t>51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根据预算绩效管理要求，天津中医药大学第二附属医院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年度已对</w:t>
      </w:r>
      <w:r>
        <w:rPr>
          <w:rFonts w:ascii="Times New Roman" w:hAnsi="Times New Roman" w:eastAsia="仿宋_GB2312" w:cs="仿宋_GB2312"/>
          <w:sz w:val="30"/>
          <w:szCs w:val="30"/>
        </w:rPr>
        <w:t>15</w:t>
      </w:r>
      <w:r>
        <w:rPr>
          <w:rFonts w:hint="eastAsia" w:ascii="Times New Roman" w:hAnsi="Times New Roman" w:eastAsia="仿宋_GB2312" w:cs="仿宋_GB2312"/>
          <w:sz w:val="30"/>
          <w:szCs w:val="30"/>
        </w:rPr>
        <w:t>个市级项目开展绩效自评，涉及金额</w:t>
      </w:r>
      <w:r>
        <w:rPr>
          <w:rFonts w:ascii="Times New Roman" w:hAnsi="Times New Roman" w:eastAsia="仿宋_GB2312" w:cs="仿宋_GB2312"/>
          <w:sz w:val="30"/>
          <w:szCs w:val="30"/>
        </w:rPr>
        <w:t>24,194,394.00</w:t>
      </w:r>
      <w:r>
        <w:rPr>
          <w:rFonts w:hint="eastAsia" w:ascii="Times New Roman" w:hAnsi="Times New Roman" w:eastAsia="仿宋_GB2312" w:cs="仿宋_GB2312"/>
          <w:sz w:val="30"/>
          <w:szCs w:val="30"/>
        </w:rPr>
        <w:t>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天津中医药大学第二附属医院不属于乡、镇、街级单位，不涉及公开</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eastAsia="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5CADC"/>
    <w:multiLevelType w:val="singleLevel"/>
    <w:tmpl w:val="B7F5CAD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ZkMWNlOWU3Mjg2MWJjYTMwYzFmMDNkMWQ3MTY5Mm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745E7"/>
    <w:rsid w:val="003B25FB"/>
    <w:rsid w:val="004A482F"/>
    <w:rsid w:val="004B2650"/>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46E4B"/>
    <w:rsid w:val="00D65B41"/>
    <w:rsid w:val="00DB6C45"/>
    <w:rsid w:val="00DC3234"/>
    <w:rsid w:val="00DC3CD0"/>
    <w:rsid w:val="00DD60B5"/>
    <w:rsid w:val="00DE57CD"/>
    <w:rsid w:val="00E7602B"/>
    <w:rsid w:val="00E964B2"/>
    <w:rsid w:val="00EA6549"/>
    <w:rsid w:val="00F007FE"/>
    <w:rsid w:val="017D4A3B"/>
    <w:rsid w:val="01A10E80"/>
    <w:rsid w:val="029D518A"/>
    <w:rsid w:val="02BD44BF"/>
    <w:rsid w:val="03311B3F"/>
    <w:rsid w:val="03901927"/>
    <w:rsid w:val="059F6208"/>
    <w:rsid w:val="05CA273A"/>
    <w:rsid w:val="05E55C53"/>
    <w:rsid w:val="062E3933"/>
    <w:rsid w:val="069A035E"/>
    <w:rsid w:val="07267E44"/>
    <w:rsid w:val="07425D24"/>
    <w:rsid w:val="076E5B8C"/>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55258"/>
    <w:rsid w:val="12D93FBD"/>
    <w:rsid w:val="12FD0C7B"/>
    <w:rsid w:val="13463246"/>
    <w:rsid w:val="142D4C1F"/>
    <w:rsid w:val="15F1161D"/>
    <w:rsid w:val="161D1413"/>
    <w:rsid w:val="1666200B"/>
    <w:rsid w:val="16C5644A"/>
    <w:rsid w:val="16D76A65"/>
    <w:rsid w:val="17C84C4C"/>
    <w:rsid w:val="1949378C"/>
    <w:rsid w:val="199A3054"/>
    <w:rsid w:val="1A1104E0"/>
    <w:rsid w:val="1A404E9F"/>
    <w:rsid w:val="1AA54268"/>
    <w:rsid w:val="1B173F14"/>
    <w:rsid w:val="1B300E3A"/>
    <w:rsid w:val="1B4641B9"/>
    <w:rsid w:val="1B520DB0"/>
    <w:rsid w:val="1B5D5A1E"/>
    <w:rsid w:val="1B7A68EC"/>
    <w:rsid w:val="1CCA277E"/>
    <w:rsid w:val="1DFB572F"/>
    <w:rsid w:val="1EC5396A"/>
    <w:rsid w:val="1ED00CA9"/>
    <w:rsid w:val="1EFB0588"/>
    <w:rsid w:val="1FAD0CAB"/>
    <w:rsid w:val="1FF37316"/>
    <w:rsid w:val="205729C5"/>
    <w:rsid w:val="20DB5BFD"/>
    <w:rsid w:val="21365D81"/>
    <w:rsid w:val="21556D90"/>
    <w:rsid w:val="21C24E94"/>
    <w:rsid w:val="21D73FEC"/>
    <w:rsid w:val="23736675"/>
    <w:rsid w:val="24B227A0"/>
    <w:rsid w:val="25BA7C7E"/>
    <w:rsid w:val="2666570F"/>
    <w:rsid w:val="26DB4B05"/>
    <w:rsid w:val="271B299E"/>
    <w:rsid w:val="27D36F17"/>
    <w:rsid w:val="27DD7C53"/>
    <w:rsid w:val="284E3F62"/>
    <w:rsid w:val="28612632"/>
    <w:rsid w:val="294755C0"/>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5544F5"/>
    <w:rsid w:val="317F3B29"/>
    <w:rsid w:val="32146967"/>
    <w:rsid w:val="32443D30"/>
    <w:rsid w:val="32672F3B"/>
    <w:rsid w:val="33032C66"/>
    <w:rsid w:val="332D3FC0"/>
    <w:rsid w:val="350B676A"/>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6842C3"/>
    <w:rsid w:val="3EB42189"/>
    <w:rsid w:val="3EC62D97"/>
    <w:rsid w:val="3EEF0B4C"/>
    <w:rsid w:val="3EF16375"/>
    <w:rsid w:val="3F2006FA"/>
    <w:rsid w:val="40CF0629"/>
    <w:rsid w:val="41261C25"/>
    <w:rsid w:val="4137238C"/>
    <w:rsid w:val="41CC0838"/>
    <w:rsid w:val="43612B5A"/>
    <w:rsid w:val="43805C0B"/>
    <w:rsid w:val="43B835F7"/>
    <w:rsid w:val="44552CED"/>
    <w:rsid w:val="44EB17AA"/>
    <w:rsid w:val="45984C48"/>
    <w:rsid w:val="45C21E1B"/>
    <w:rsid w:val="47727F60"/>
    <w:rsid w:val="485D29BF"/>
    <w:rsid w:val="49374433"/>
    <w:rsid w:val="49DA103E"/>
    <w:rsid w:val="4A2319E6"/>
    <w:rsid w:val="4A8E57CD"/>
    <w:rsid w:val="4B3E382E"/>
    <w:rsid w:val="4CA13CE1"/>
    <w:rsid w:val="4CD450D8"/>
    <w:rsid w:val="4D14664A"/>
    <w:rsid w:val="4D210FC7"/>
    <w:rsid w:val="4D720D77"/>
    <w:rsid w:val="4DB9688D"/>
    <w:rsid w:val="4E2D4BE1"/>
    <w:rsid w:val="4E4E3945"/>
    <w:rsid w:val="4E8C7B5A"/>
    <w:rsid w:val="4F167E2F"/>
    <w:rsid w:val="4F391364"/>
    <w:rsid w:val="4F5676E2"/>
    <w:rsid w:val="4FA424E7"/>
    <w:rsid w:val="4FBD62FD"/>
    <w:rsid w:val="4FD337AC"/>
    <w:rsid w:val="4FE523CE"/>
    <w:rsid w:val="5236167C"/>
    <w:rsid w:val="52A37398"/>
    <w:rsid w:val="53C102A5"/>
    <w:rsid w:val="54380029"/>
    <w:rsid w:val="54A61249"/>
    <w:rsid w:val="54F16968"/>
    <w:rsid w:val="55AC416B"/>
    <w:rsid w:val="564008B5"/>
    <w:rsid w:val="564C0516"/>
    <w:rsid w:val="5713248B"/>
    <w:rsid w:val="57833AC4"/>
    <w:rsid w:val="578735B4"/>
    <w:rsid w:val="57CE2F91"/>
    <w:rsid w:val="58333B0F"/>
    <w:rsid w:val="58C3061C"/>
    <w:rsid w:val="58E93DFA"/>
    <w:rsid w:val="5975314E"/>
    <w:rsid w:val="599E4BE5"/>
    <w:rsid w:val="5A1C0F73"/>
    <w:rsid w:val="5A964C59"/>
    <w:rsid w:val="5B455E20"/>
    <w:rsid w:val="5C170425"/>
    <w:rsid w:val="5C241D7E"/>
    <w:rsid w:val="5CD612EB"/>
    <w:rsid w:val="5D032E6E"/>
    <w:rsid w:val="5DC66F7C"/>
    <w:rsid w:val="5DFB2606"/>
    <w:rsid w:val="5E015742"/>
    <w:rsid w:val="5EB1144C"/>
    <w:rsid w:val="5EF37781"/>
    <w:rsid w:val="5F6D7131"/>
    <w:rsid w:val="5F7856C5"/>
    <w:rsid w:val="5FF67529"/>
    <w:rsid w:val="615900E7"/>
    <w:rsid w:val="61846C62"/>
    <w:rsid w:val="61D75AE1"/>
    <w:rsid w:val="61D902B3"/>
    <w:rsid w:val="620B43D3"/>
    <w:rsid w:val="624C1682"/>
    <w:rsid w:val="63B80927"/>
    <w:rsid w:val="643C1F0A"/>
    <w:rsid w:val="644D16E1"/>
    <w:rsid w:val="64925346"/>
    <w:rsid w:val="654D2EBE"/>
    <w:rsid w:val="654E5711"/>
    <w:rsid w:val="656942F9"/>
    <w:rsid w:val="65B558C0"/>
    <w:rsid w:val="66281C6D"/>
    <w:rsid w:val="665D659A"/>
    <w:rsid w:val="66721062"/>
    <w:rsid w:val="667274BD"/>
    <w:rsid w:val="66BC2A82"/>
    <w:rsid w:val="672E57FA"/>
    <w:rsid w:val="675608AD"/>
    <w:rsid w:val="68200AB4"/>
    <w:rsid w:val="68C169D0"/>
    <w:rsid w:val="6AD423EF"/>
    <w:rsid w:val="6B4F5D3F"/>
    <w:rsid w:val="6B963EB9"/>
    <w:rsid w:val="6BBB51FE"/>
    <w:rsid w:val="6BF54B38"/>
    <w:rsid w:val="6C054650"/>
    <w:rsid w:val="6C1D5E3D"/>
    <w:rsid w:val="6CA52539"/>
    <w:rsid w:val="6CF70A69"/>
    <w:rsid w:val="6CFE17CB"/>
    <w:rsid w:val="6D5E0469"/>
    <w:rsid w:val="6D854C1A"/>
    <w:rsid w:val="6E080CF4"/>
    <w:rsid w:val="6EB34837"/>
    <w:rsid w:val="6F7B633C"/>
    <w:rsid w:val="70180DF5"/>
    <w:rsid w:val="704716DB"/>
    <w:rsid w:val="708C6A78"/>
    <w:rsid w:val="70E84C6C"/>
    <w:rsid w:val="70FE35D3"/>
    <w:rsid w:val="71600CA6"/>
    <w:rsid w:val="72523553"/>
    <w:rsid w:val="7260119C"/>
    <w:rsid w:val="72701CEB"/>
    <w:rsid w:val="72B3615B"/>
    <w:rsid w:val="73724CC1"/>
    <w:rsid w:val="7455465F"/>
    <w:rsid w:val="75AB44BA"/>
    <w:rsid w:val="77F263D0"/>
    <w:rsid w:val="79B7155B"/>
    <w:rsid w:val="79DC07A5"/>
    <w:rsid w:val="7ACA53E2"/>
    <w:rsid w:val="7B143565"/>
    <w:rsid w:val="7E2E7A36"/>
    <w:rsid w:val="7E703A39"/>
    <w:rsid w:val="7F22690F"/>
    <w:rsid w:val="7F3217A8"/>
    <w:rsid w:val="7FDD79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autoRedefine/>
    <w:semiHidden/>
    <w:uiPriority w:val="99"/>
    <w:pPr>
      <w:jc w:val="left"/>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autoRedefine/>
    <w:uiPriority w:val="99"/>
    <w:pPr>
      <w:tabs>
        <w:tab w:val="center" w:pos="4153"/>
        <w:tab w:val="right" w:pos="8306"/>
      </w:tabs>
      <w:snapToGrid w:val="0"/>
      <w:jc w:val="center"/>
    </w:pPr>
    <w:rPr>
      <w:sz w:val="18"/>
      <w:szCs w:val="18"/>
    </w:rPr>
  </w:style>
  <w:style w:type="character" w:customStyle="1" w:styleId="9">
    <w:name w:val="Heading 1 Char"/>
    <w:basedOn w:val="8"/>
    <w:link w:val="2"/>
    <w:locked/>
    <w:uiPriority w:val="99"/>
    <w:rPr>
      <w:rFonts w:ascii="方正小标宋简体" w:eastAsia="方正小标宋简体" w:cs="Times New Roman"/>
      <w:kern w:val="0"/>
      <w:sz w:val="24"/>
      <w:szCs w:val="24"/>
    </w:rPr>
  </w:style>
  <w:style w:type="character" w:customStyle="1" w:styleId="10">
    <w:name w:val="Heading 2 Char"/>
    <w:basedOn w:val="8"/>
    <w:link w:val="3"/>
    <w:locked/>
    <w:uiPriority w:val="99"/>
    <w:rPr>
      <w:rFonts w:ascii="方正小标宋简体" w:eastAsia="方正小标宋简体" w:cs="Times New Roman"/>
      <w:kern w:val="0"/>
      <w:sz w:val="24"/>
      <w:szCs w:val="24"/>
    </w:rPr>
  </w:style>
  <w:style w:type="character" w:customStyle="1" w:styleId="11">
    <w:name w:val="Comment Text Char"/>
    <w:basedOn w:val="8"/>
    <w:link w:val="4"/>
    <w:semiHidden/>
    <w:uiPriority w:val="99"/>
  </w:style>
  <w:style w:type="character" w:customStyle="1" w:styleId="12">
    <w:name w:val="Footer Char"/>
    <w:basedOn w:val="8"/>
    <w:link w:val="5"/>
    <w:locked/>
    <w:uiPriority w:val="99"/>
    <w:rPr>
      <w:rFonts w:cs="Times New Roman"/>
      <w:sz w:val="18"/>
      <w:szCs w:val="18"/>
    </w:rPr>
  </w:style>
  <w:style w:type="character" w:customStyle="1" w:styleId="13">
    <w:name w:val="Header Char"/>
    <w:basedOn w:val="8"/>
    <w:link w:val="6"/>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4365</Words>
  <Characters>5266</Characters>
  <Lines>0</Lines>
  <Paragraphs>0</Paragraphs>
  <TotalTime>1</TotalTime>
  <ScaleCrop>false</ScaleCrop>
  <LinksUpToDate>false</LinksUpToDate>
  <CharactersWithSpaces>5300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2024-09-02T03:00:03Z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